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44"/>
          <w:sz w:val="48"/>
          <w:szCs w:val="48"/>
          <w:vertAlign w:val="baseline"/>
          <w:lang w:val="en-US" w:eastAsia="zh-CN" w:bidi="ar"/>
        </w:rPr>
      </w:pPr>
      <w:r>
        <w:rPr>
          <w:rFonts w:hint="eastAsia" w:ascii="方正小标宋简体" w:hAnsi="方正小标宋简体" w:eastAsia="方正小标宋简体" w:cs="方正小标宋简体"/>
          <w:b w:val="0"/>
          <w:bCs w:val="0"/>
          <w:kern w:val="44"/>
          <w:sz w:val="48"/>
          <w:szCs w:val="48"/>
          <w:vertAlign w:val="baseline"/>
          <w:lang w:val="en-US" w:eastAsia="zh-CN" w:bidi="ar"/>
        </w:rPr>
        <w:t>2020-2021年度连云港市社科基金项目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44"/>
          <w:sz w:val="48"/>
          <w:szCs w:val="48"/>
          <w:vertAlign w:val="baseline"/>
          <w:lang w:val="en-US" w:eastAsia="zh-CN" w:bidi="ar"/>
        </w:rPr>
      </w:pPr>
      <w:r>
        <w:rPr>
          <w:rFonts w:hint="eastAsia" w:ascii="方正小标宋简体" w:hAnsi="方正小标宋简体" w:eastAsia="方正小标宋简体" w:cs="方正小标宋简体"/>
          <w:b w:val="0"/>
          <w:bCs w:val="0"/>
          <w:kern w:val="44"/>
          <w:sz w:val="48"/>
          <w:szCs w:val="48"/>
          <w:vertAlign w:val="baseline"/>
          <w:lang w:val="en-US" w:eastAsia="zh-CN" w:bidi="ar"/>
        </w:rPr>
        <w:t>拟结项名单公示（二）</w:t>
      </w:r>
    </w:p>
    <w:p>
      <w:pPr>
        <w:rPr>
          <w:rFonts w:hint="eastAsia" w:ascii="仿宋_GB2312" w:eastAsia="仿宋_GB2312"/>
          <w:sz w:val="32"/>
          <w:szCs w:val="32"/>
        </w:rPr>
      </w:pPr>
    </w:p>
    <w:p>
      <w:pPr>
        <w:ind w:firstLine="640" w:firstLineChars="200"/>
        <w:jc w:val="left"/>
        <w:rPr>
          <w:rFonts w:hint="eastAsia" w:ascii="仿宋" w:hAnsi="仿宋" w:eastAsia="仿宋" w:cs="仿宋"/>
          <w:i w:val="0"/>
          <w:iCs w:val="0"/>
          <w:caps w:val="0"/>
          <w:color w:val="333333"/>
          <w:spacing w:val="0"/>
          <w:kern w:val="0"/>
          <w:sz w:val="32"/>
          <w:szCs w:val="32"/>
          <w:vertAlign w:val="baseline"/>
          <w:lang w:val="en-US" w:eastAsia="zh-CN" w:bidi="ar"/>
        </w:rPr>
      </w:pPr>
      <w:r>
        <w:rPr>
          <w:rFonts w:hint="eastAsia" w:ascii="仿宋" w:hAnsi="仿宋" w:eastAsia="仿宋" w:cs="仿宋"/>
          <w:i w:val="0"/>
          <w:iCs w:val="0"/>
          <w:caps w:val="0"/>
          <w:color w:val="333333"/>
          <w:spacing w:val="0"/>
          <w:kern w:val="0"/>
          <w:sz w:val="32"/>
          <w:szCs w:val="32"/>
          <w:vertAlign w:val="baseline"/>
          <w:lang w:val="en-US" w:eastAsia="zh-CN" w:bidi="ar"/>
        </w:rPr>
        <w:t>2020-2021年度连云港市社科基金项目第二批结项评审工作已于2021年8月3日结束。</w:t>
      </w:r>
      <w:bookmarkStart w:id="0" w:name="_GoBack"/>
      <w:bookmarkEnd w:id="0"/>
      <w:r>
        <w:rPr>
          <w:rFonts w:hint="eastAsia" w:ascii="仿宋" w:hAnsi="仿宋" w:eastAsia="仿宋" w:cs="仿宋"/>
          <w:i w:val="0"/>
          <w:iCs w:val="0"/>
          <w:caps w:val="0"/>
          <w:color w:val="333333"/>
          <w:spacing w:val="0"/>
          <w:kern w:val="0"/>
          <w:sz w:val="32"/>
          <w:szCs w:val="32"/>
          <w:vertAlign w:val="baseline"/>
          <w:lang w:val="en-US" w:eastAsia="zh-CN" w:bidi="ar"/>
        </w:rPr>
        <w:t>现将结果公示（具体名单附后），公示期7天，自2021年8月6日起至8月13日止。如对结果有异议，请与市委宣传部理论处联系反映，电话：85800249。</w:t>
      </w:r>
    </w:p>
    <w:p>
      <w:pPr>
        <w:ind w:firstLine="640" w:firstLineChars="200"/>
        <w:jc w:val="right"/>
        <w:rPr>
          <w:rFonts w:hint="eastAsia" w:ascii="仿宋" w:hAnsi="仿宋" w:eastAsia="仿宋" w:cs="仿宋"/>
          <w:i w:val="0"/>
          <w:iCs w:val="0"/>
          <w:caps w:val="0"/>
          <w:color w:val="333333"/>
          <w:spacing w:val="0"/>
          <w:kern w:val="0"/>
          <w:sz w:val="32"/>
          <w:szCs w:val="32"/>
          <w:vertAlign w:val="baseline"/>
          <w:lang w:val="en-US" w:eastAsia="zh-CN" w:bidi="ar"/>
        </w:rPr>
      </w:pPr>
    </w:p>
    <w:p>
      <w:pPr>
        <w:ind w:firstLine="640" w:firstLineChars="200"/>
        <w:jc w:val="right"/>
        <w:rPr>
          <w:rFonts w:hint="eastAsia" w:ascii="仿宋" w:hAnsi="仿宋" w:eastAsia="仿宋" w:cs="仿宋"/>
          <w:i w:val="0"/>
          <w:iCs w:val="0"/>
          <w:caps w:val="0"/>
          <w:color w:val="333333"/>
          <w:spacing w:val="0"/>
          <w:kern w:val="0"/>
          <w:sz w:val="32"/>
          <w:szCs w:val="32"/>
          <w:vertAlign w:val="baseline"/>
          <w:lang w:val="en-US" w:eastAsia="zh-CN" w:bidi="ar"/>
        </w:rPr>
      </w:pPr>
    </w:p>
    <w:p>
      <w:pPr>
        <w:ind w:firstLine="2080" w:firstLineChars="650"/>
        <w:jc w:val="right"/>
        <w:rPr>
          <w:rFonts w:hint="eastAsia" w:ascii="仿宋" w:hAnsi="仿宋" w:eastAsia="仿宋" w:cs="仿宋"/>
          <w:i w:val="0"/>
          <w:iCs w:val="0"/>
          <w:caps w:val="0"/>
          <w:color w:val="333333"/>
          <w:spacing w:val="0"/>
          <w:kern w:val="0"/>
          <w:sz w:val="32"/>
          <w:szCs w:val="32"/>
          <w:vertAlign w:val="baseline"/>
          <w:lang w:val="en-US" w:eastAsia="zh-CN" w:bidi="ar"/>
        </w:rPr>
      </w:pPr>
      <w:r>
        <w:rPr>
          <w:rFonts w:hint="eastAsia" w:ascii="仿宋" w:hAnsi="仿宋" w:eastAsia="仿宋" w:cs="仿宋"/>
          <w:i w:val="0"/>
          <w:iCs w:val="0"/>
          <w:caps w:val="0"/>
          <w:color w:val="333333"/>
          <w:spacing w:val="0"/>
          <w:kern w:val="0"/>
          <w:sz w:val="32"/>
          <w:szCs w:val="32"/>
          <w:vertAlign w:val="baseline"/>
          <w:lang w:val="en-US" w:eastAsia="zh-CN" w:bidi="ar"/>
        </w:rPr>
        <w:t>连云港市哲学社会科学规划领导小组办公室</w:t>
      </w:r>
    </w:p>
    <w:p>
      <w:pPr>
        <w:ind w:firstLine="3200" w:firstLineChars="1000"/>
        <w:jc w:val="right"/>
        <w:rPr>
          <w:rFonts w:hint="eastAsia" w:ascii="仿宋" w:hAnsi="仿宋" w:eastAsia="仿宋" w:cs="仿宋"/>
          <w:i w:val="0"/>
          <w:iCs w:val="0"/>
          <w:caps w:val="0"/>
          <w:color w:val="333333"/>
          <w:spacing w:val="0"/>
          <w:kern w:val="0"/>
          <w:sz w:val="32"/>
          <w:szCs w:val="32"/>
          <w:vertAlign w:val="baseline"/>
          <w:lang w:val="en-US" w:eastAsia="zh-CN" w:bidi="ar"/>
        </w:rPr>
      </w:pPr>
      <w:r>
        <w:rPr>
          <w:rFonts w:hint="eastAsia" w:ascii="仿宋" w:hAnsi="仿宋" w:eastAsia="仿宋" w:cs="仿宋"/>
          <w:i w:val="0"/>
          <w:iCs w:val="0"/>
          <w:caps w:val="0"/>
          <w:color w:val="333333"/>
          <w:spacing w:val="0"/>
          <w:kern w:val="0"/>
          <w:sz w:val="32"/>
          <w:szCs w:val="32"/>
          <w:vertAlign w:val="baseline"/>
          <w:lang w:val="en-US" w:eastAsia="zh-CN" w:bidi="ar"/>
        </w:rPr>
        <w:t xml:space="preserve">  2021年8月6日</w:t>
      </w:r>
    </w:p>
    <w:p/>
    <w:p/>
    <w:p/>
    <w:p/>
    <w:p/>
    <w:p/>
    <w:p/>
    <w:p/>
    <w:p/>
    <w:p/>
    <w:p/>
    <w:p/>
    <w:p/>
    <w:p/>
    <w:p/>
    <w:p/>
    <w:p/>
    <w:p/>
    <w:tbl>
      <w:tblPr>
        <w:tblW w:w="8730" w:type="dxa"/>
        <w:tblInd w:w="93" w:type="dxa"/>
        <w:shd w:val="clear"/>
        <w:tblLayout w:type="autofit"/>
        <w:tblCellMar>
          <w:top w:w="0" w:type="dxa"/>
          <w:left w:w="108" w:type="dxa"/>
          <w:bottom w:w="0" w:type="dxa"/>
          <w:right w:w="108" w:type="dxa"/>
        </w:tblCellMar>
      </w:tblPr>
      <w:tblGrid>
        <w:gridCol w:w="698"/>
        <w:gridCol w:w="1206"/>
        <w:gridCol w:w="1260"/>
        <w:gridCol w:w="2980"/>
        <w:gridCol w:w="1050"/>
        <w:gridCol w:w="1536"/>
      </w:tblGrid>
      <w:tr>
        <w:tblPrEx>
          <w:shd w:val="clear"/>
          <w:tblCellMar>
            <w:top w:w="0" w:type="dxa"/>
            <w:left w:w="108" w:type="dxa"/>
            <w:bottom w:w="0" w:type="dxa"/>
            <w:right w:w="108" w:type="dxa"/>
          </w:tblCellMar>
        </w:tblPrEx>
        <w:trPr>
          <w:trHeight w:val="900" w:hRule="atLeast"/>
        </w:trPr>
        <w:tc>
          <w:tcPr>
            <w:tcW w:w="8730"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2020-2021年度连云港市社科基金项目拟结项名单公示表(二）</w:t>
            </w:r>
          </w:p>
        </w:tc>
      </w:tr>
      <w:tr>
        <w:tblPrEx>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批准号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项目类别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   目   名   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负责人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r>
      <w:tr>
        <w:tblPrEx>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基本实现社会主义现代化对文化发展提出的新目标新要求  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孙江涛</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新时代防范化解网络意识形态重大风险的治理策略研究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  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20LKT005B</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紧抓自贸试验区建设契机，打造“一带一路”强支点研究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赵  巍</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新时代统一战线的治理功能定位与机制创新研究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魏范青</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20LKT1003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公共危机管理中政府精准施策问题研究——以新冠肺炎公共卫生事件为例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黄金虎</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20LKT1007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乡村振兴背景下连云港市特色农产品产业融合发展问题研究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易爱军</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20LKT1009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连云港传统制造业转型升级路径及政策支持研究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陈国华</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20LKT1010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连云港推进科技型中小企业知识产权质押融资的长效机制研究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肖  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20LKT1018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连云港新时代营商环境的短板与政策创新研究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王祥翠</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20LKT1022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生态文明背景下连云港市盐碱地海绵城市建设及适生植物研究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闫凡峰</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市住建局</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20LKT1024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新时代连云港劳动教育创新实践研究----以连云港高校为例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董  凤</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20LKT1026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“海州五大宫调”宫曲大调音乐本体考正探析</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冯  继</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乡村振兴战略下连云港返乡创业环境研究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刘增涛</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市社科院</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20LKT1030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基于生物医药产教融合集成平台的共享性实训教学基地建设探析</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于均超</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连云港职业技术学院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20LKT1033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中华优秀传统文化融入大学生思想政治教育的路径探析</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  志</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20LKT1036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新时代视野下学前双语教育师资的培养--以连云港师专学前双语人才培养为例</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  媛</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20LKT1038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新时代背景下地方高校深化财经纪律建设问题研究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施沧桑</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20LKT1039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大数据环境下提升审计监督效能研究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杨柔坚</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南京审计大学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“一带一路”视域下连云港中外交流史料整理与研究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赵  旭</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市博物馆</w:t>
            </w:r>
          </w:p>
        </w:tc>
      </w:tr>
      <w:tr>
        <w:tblPrEx>
          <w:tblCellMar>
            <w:top w:w="0" w:type="dxa"/>
            <w:left w:w="108" w:type="dxa"/>
            <w:bottom w:w="0" w:type="dxa"/>
            <w:right w:w="108" w:type="dxa"/>
          </w:tblCellMar>
        </w:tblPrEx>
        <w:trPr>
          <w:trHeight w:val="11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学校、家庭、社会协同育人体系建设研究——陶行知生活教育理论在高职英语教学改革中的应用</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  娅</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连云港工贸高等职业技术学校</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新时代下高职院校网络意识形态风险治理机制研究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俞兰网</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近现代连云港海洋渔业史料整理与研究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陈朝晖</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连云港高校卓越幼儿园教师培养的实践研究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  娟</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高铁运营对区域经济发展的影响研究——以连云港为例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王龄萱</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地方应用型高校产教融合深度推进机制研究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唐  滔</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20LKT2009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以美育人——习近平总书记关于美育的论述在高职院校立德树人工作中的研究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王曦卉</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20LKT2013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连云港市工科高校深化产学研合作路径研究——以江苏海洋大学为例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  博</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20LKT2015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体育生活化全民健身实证研究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  杰</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20LKT2018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新时代离退休人员社会保障模式的探索与研究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武焱</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市人社局</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蓬瀛仙境：海上云台山与《西游记》茶文化的挖掘和传播研究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闫茂华</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20LKT2024</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当代城市公共空间的艺术生态研究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刘兮兮</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连云港乡村振兴中公共空间乡土文化景观设计的策略研究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叶姗虹</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连云港中小学教师信息素养研究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易  祯</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连云港创新创业人才成长环境优化研究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纪  兰</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20LKT2028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连云港市文化旅游产业融合发展研究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何华安</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连云港自贸区物流系统供需均衡研究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陈晓华</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连云港基层社会治理与基本公共服务融合发展研究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  励</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市委党校</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全域旅游视域下连云港非遗旅游产业发展研究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  斓</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连云港市艺术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研究所</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连云港市巡察高质量发展对策研究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付  璐</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连云港职业技术学院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全球价值链视角下自贸区建设与连云港市产业升级</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张小燕</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新时代工匠精神后置于高职院校职业文化的路径研究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  倩</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连云港职业技术学院</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时代·文学·历史：多重视域下的“西游记”文旅开发研究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尚继武</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20LKT2039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多元地域文化视域中的连云港城市精神研究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张文凤</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20LKT2040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“一带一路”倡议下连云港市跨境电商服务创新研究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杜友文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20LKT2042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连云港地区高职院校产教研深度融合推进机制研究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张永瑞</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20LKT2044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连云港低碳社区治理模式创新研究——基于PPP视角</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刘晓慧</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20LKT2046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连云港市绿色发展现状及对策研究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  晓</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20LKT2050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连云港园区开发企业投融资模式创新研究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  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20LKT2052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应对公共卫生突发事件情况下社会心态调整研究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刘春梅</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20LKT2053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自贸视角下连云港港口发展策略研究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孙元花</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20LKT2056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连云港自贸区创建日、韩经济贸易合作示范园的路径研究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  延</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连云港职业 技术学院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20LKT2057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连云港开放型经济高质发展的战略研究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岳红杰</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连云港职业 技术学院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互联网+背景下高校数字化教育资源的共建与共享研究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吉广萍</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“一带一路”背景下连云港高校创新创业教育现状探析与思考</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朱海燕</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以“抗疫”精神培育大学生社会主义核心价值观路径机制研究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吴  萍</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以学生社团为依托推进习近平新时代中国特色社会主义思想大众化研究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付  艳</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地域优秀文化资源在本地高校思想政治教育中的应用研究--以连云港为例</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杨文革</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20LKT2069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后疫情时期连云港农村学校在线教学的困境与重构</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黎孟雄</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20LKT2070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校园贷背景下高职院校学生金融素养现状分析与提升路——以连云港市为例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卞  娜</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基于创新社会治理的连云港公共卫生事件应急管理体系优化研究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  露</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连云港地方文化融入大学英语课程的创新路径研究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庞  莹</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江苏财会职业学院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新时代乡村文化秩序转型与价值重构研究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李秀芸</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加强优秀传统文化教育——高中政治教学中培养学生“人文精神”教学策略研究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吴从清</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外国语学校</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供给侧背景下高校教学督导运行机制的创新研究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王芳亮</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连云港师专</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对接长三角区域一体化等战略，推动连云港产业强市研究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薛继坤</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市社科院</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新时期高校思想政治教育实践创新路径研究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朱凌云</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江苏海洋大学</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20LKT2089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习近平法治思想研究</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吴秋婷</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市委党校</w:t>
            </w:r>
          </w:p>
        </w:tc>
      </w:tr>
      <w:tr>
        <w:tblPrEx>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20LKT2092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乡村振兴战略视域下连云港市   推进农村集体经济发展的路径研究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贾金荣</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市委党校</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20LKT2093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习近平新时代中国特色社会主义思想的哲学内涵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柴  静</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市委党校</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20LKT2097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课程思政在动画制作课程中的探索与实践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胡力文</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20LKT2099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自筹项目</w:t>
            </w:r>
          </w:p>
        </w:tc>
        <w:tc>
          <w:tcPr>
            <w:tcW w:w="31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高职校园亚文化的影响及其应对策略研究  ——以连云港市高职院校为例</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卞晓妍</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江苏财会职业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学院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7098A"/>
    <w:rsid w:val="3CDE6D09"/>
    <w:rsid w:val="403E6615"/>
    <w:rsid w:val="41B63686"/>
    <w:rsid w:val="50627A61"/>
    <w:rsid w:val="584A77CE"/>
    <w:rsid w:val="6B25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2021-08-06T07:49:56Z</dcterms:created>
  <dc:creator>Administrator</dc:creator>
  <cp:lastModifiedBy>李鑫</cp:lastModifiedBy>
  <cp:lastPrinted>2021-08-06T08:30:19Z</cp:lastPrinted>
  <dcterms:modified xsi:type="dcterms:W3CDTF">2021-08-06T09:26:24Z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77AC6A6E295344D8A0C916548E0FBB01</vt:lpwstr>
  </property>
</Properties>
</file>